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DC" w:rsidRPr="00506ECD" w:rsidRDefault="005B7A27" w:rsidP="007256EA">
      <w:pPr>
        <w:bidi/>
        <w:spacing w:after="0"/>
        <w:jc w:val="center"/>
        <w:rPr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BT1 </w:t>
      </w:r>
      <w:r w:rsidR="00EB4BA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EB4BA5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Sciences</w:t>
      </w:r>
      <w:r w:rsidR="00487BDC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7A66F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30→</w:t>
      </w:r>
      <w:r w:rsidR="007256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7A66F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0periodes) </w:t>
      </w:r>
      <w:proofErr w:type="spellStart"/>
      <w:r w:rsidR="009E5797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="009E5797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-allégés</w:t>
      </w:r>
      <w:r w:rsid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-2020 </w:t>
      </w:r>
      <w:r w:rsidR="00506EC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_</w:t>
      </w:r>
    </w:p>
    <w:p w:rsidR="009B2E22" w:rsidRPr="008E75BF" w:rsidRDefault="009B2E22" w:rsidP="009B2E22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 w:rsidRPr="008E75BF">
        <w:rPr>
          <w:rFonts w:asciiTheme="majorBidi" w:hAnsiTheme="majorBidi" w:cstheme="majorBidi"/>
          <w:sz w:val="20"/>
          <w:szCs w:val="20"/>
          <w:lang w:val="fr-FR"/>
        </w:rPr>
        <w:t>.</w:t>
      </w: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74734" w:rsidRDefault="00474734" w:rsidP="00471667">
      <w:pPr>
        <w:jc w:val="center"/>
        <w:rPr>
          <w:sz w:val="32"/>
          <w:szCs w:val="32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BT1 : (</w:t>
      </w:r>
      <w:r w:rsidR="0020662B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Sciences</w:t>
      </w:r>
      <w:r w:rsidR="0020662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-</w:t>
      </w:r>
      <w:proofErr w:type="spellStart"/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20662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 2020</w:t>
      </w:r>
      <w:r w:rsidR="00E963C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(30</w:t>
      </w:r>
      <w:r w:rsidR="0047166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→20periodes</w:t>
      </w:r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</w:p>
    <w:p w:rsidR="00474734" w:rsidRPr="00770B6E" w:rsidRDefault="00474734" w:rsidP="00474734">
      <w:pPr>
        <w:bidi/>
        <w:jc w:val="center"/>
        <w:rPr>
          <w:sz w:val="32"/>
          <w:szCs w:val="32"/>
          <w:rtl/>
          <w:lang w:val="fr-FR"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(عناية تمريضية- مراقب صحي-)</w:t>
      </w:r>
    </w:p>
    <w:p w:rsidR="006E5165" w:rsidRPr="00B62C8B" w:rsidRDefault="008F718D" w:rsidP="006E5165">
      <w:pPr>
        <w:spacing w:line="240" w:lineRule="auto"/>
        <w:jc w:val="center"/>
        <w:rPr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CHAPITRE- I</w:t>
      </w:r>
      <w:r w:rsidRPr="008F718D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- </w:t>
      </w:r>
      <w:r w:rsidR="006E5165" w:rsidRPr="008F718D">
        <w:rPr>
          <w:rFonts w:asciiTheme="majorBidi" w:hAnsiTheme="majorBidi" w:cstheme="majorBidi"/>
          <w:b/>
          <w:bCs/>
          <w:sz w:val="20"/>
          <w:szCs w:val="20"/>
          <w:lang w:val="fr-FR"/>
        </w:rPr>
        <w:t>Température</w:t>
      </w:r>
    </w:p>
    <w:tbl>
      <w:tblPr>
        <w:tblStyle w:val="TableGrid"/>
        <w:tblW w:w="14938" w:type="dxa"/>
        <w:tblInd w:w="108" w:type="dxa"/>
        <w:tblLook w:val="04A0"/>
      </w:tblPr>
      <w:tblGrid>
        <w:gridCol w:w="4448"/>
        <w:gridCol w:w="5056"/>
        <w:gridCol w:w="5434"/>
      </w:tblGrid>
      <w:tr w:rsidR="006E5165" w:rsidTr="006E5165">
        <w:tc>
          <w:tcPr>
            <w:tcW w:w="4448" w:type="dxa"/>
          </w:tcPr>
          <w:p w:rsidR="006E5165" w:rsidRPr="001526F3" w:rsidRDefault="006E5165" w:rsidP="006E516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056" w:type="dxa"/>
          </w:tcPr>
          <w:p w:rsidR="006E5165" w:rsidRPr="001526F3" w:rsidRDefault="006E5165" w:rsidP="006E516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434" w:type="dxa"/>
          </w:tcPr>
          <w:p w:rsidR="006E5165" w:rsidRPr="001526F3" w:rsidRDefault="006E5165" w:rsidP="006E516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6E5165" w:rsidRPr="002E0C4E" w:rsidTr="006E5165">
        <w:tc>
          <w:tcPr>
            <w:tcW w:w="4448" w:type="dxa"/>
          </w:tcPr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: la température et l’équilibre thermique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thermomètre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 les échelles thermométriques</w:t>
            </w:r>
          </w:p>
        </w:tc>
        <w:tc>
          <w:tcPr>
            <w:tcW w:w="5056" w:type="dxa"/>
          </w:tcPr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un corps chaud d’un corps froid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  l’échange thermique entre les objets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les points critiques des matières</w:t>
            </w:r>
          </w:p>
        </w:tc>
        <w:tc>
          <w:tcPr>
            <w:tcW w:w="5434" w:type="dxa"/>
          </w:tcPr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 la température est liée au mouvement des particules qui constituent le corps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Pratiquer entre les échelles thermométriques</w:t>
            </w:r>
          </w:p>
        </w:tc>
      </w:tr>
    </w:tbl>
    <w:p w:rsidR="00C3147D" w:rsidRDefault="00C3147D" w:rsidP="008F718D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6E5165" w:rsidRPr="008E75BF" w:rsidRDefault="008F718D" w:rsidP="008F718D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CHAPITRE- II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 : Acides, bases et sels</w:t>
      </w:r>
      <w:r w:rsidR="006E5165" w:rsidRPr="008E75BF">
        <w:rPr>
          <w:rFonts w:asciiTheme="majorBidi" w:hAnsiTheme="majorBidi" w:cstheme="majorBidi"/>
          <w:sz w:val="20"/>
          <w:szCs w:val="20"/>
          <w:lang w:val="fr-FR"/>
        </w:rPr>
        <w:t>.</w:t>
      </w:r>
      <w:r w:rsidR="005C78D3">
        <w:rPr>
          <w:rFonts w:asciiTheme="majorBidi" w:hAnsiTheme="majorBidi" w:cstheme="majorBidi"/>
          <w:sz w:val="20"/>
          <w:szCs w:val="20"/>
          <w:lang w:val="fr-FR"/>
        </w:rPr>
        <w:t xml:space="preserve">- </w:t>
      </w:r>
      <w:r w:rsidR="005C78D3" w:rsidRPr="005C78D3">
        <w:rPr>
          <w:rFonts w:asciiTheme="majorBidi" w:hAnsiTheme="majorBidi" w:cstheme="majorBidi"/>
          <w:b/>
          <w:bCs/>
          <w:sz w:val="20"/>
          <w:szCs w:val="20"/>
          <w:lang w:val="fr-FR"/>
        </w:rPr>
        <w:t>réaction chimiques</w:t>
      </w:r>
    </w:p>
    <w:tbl>
      <w:tblPr>
        <w:tblStyle w:val="TableGrid"/>
        <w:tblW w:w="15735" w:type="dxa"/>
        <w:tblInd w:w="108" w:type="dxa"/>
        <w:tblLook w:val="04A0"/>
      </w:tblPr>
      <w:tblGrid>
        <w:gridCol w:w="4253"/>
        <w:gridCol w:w="5812"/>
        <w:gridCol w:w="5670"/>
      </w:tblGrid>
      <w:tr w:rsidR="006E5165" w:rsidRPr="008E75BF" w:rsidTr="006E5165">
        <w:tc>
          <w:tcPr>
            <w:tcW w:w="4253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812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2E0C4E" w:rsidTr="006E5165">
        <w:tc>
          <w:tcPr>
            <w:tcW w:w="4253" w:type="dxa"/>
          </w:tcPr>
          <w:p w:rsidR="006E5165" w:rsidRPr="004F5DD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F5DD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et une base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 comme étant un composé ionique.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F5DD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pH d’une solution</w:t>
            </w:r>
          </w:p>
        </w:tc>
        <w:tc>
          <w:tcPr>
            <w:tcW w:w="5812" w:type="dxa"/>
          </w:tcPr>
          <w:p w:rsidR="006E5165" w:rsidRPr="004F5DD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F5DD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l’acidité et la basicité d’un produit à l’aide du PH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entre un acide, base et un sel. </w:t>
            </w:r>
          </w:p>
          <w:p w:rsidR="005C78D3" w:rsidRPr="0090730B" w:rsidRDefault="005C78D3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caractéristiques d’une réaction chimique à partir de quelques réactions de combustion dans le dioxygène.</w:t>
            </w:r>
          </w:p>
        </w:tc>
        <w:tc>
          <w:tcPr>
            <w:tcW w:w="5670" w:type="dxa"/>
          </w:tcPr>
          <w:p w:rsidR="006E5165" w:rsidRPr="005C78D3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notion de pH à certaines applications dans la vie courante.</w:t>
            </w:r>
          </w:p>
          <w:p w:rsidR="005C78D3" w:rsidRPr="005C78D3" w:rsidRDefault="005C78D3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une réaction chimique par une équation bilan</w:t>
            </w:r>
          </w:p>
          <w:p w:rsidR="006E5165" w:rsidRPr="005C78D3" w:rsidRDefault="005C78D3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Retrouver quelques réactions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chimiques dans la vie courante.</w:t>
            </w:r>
          </w:p>
        </w:tc>
      </w:tr>
    </w:tbl>
    <w:p w:rsidR="008F718D" w:rsidRPr="0090730B" w:rsidRDefault="008F718D" w:rsidP="0090730B">
      <w:pPr>
        <w:pStyle w:val="ListParagraph"/>
        <w:spacing w:after="0" w:line="240" w:lineRule="auto"/>
        <w:ind w:left="360"/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Pr="00EF4420" w:rsidRDefault="008F718D" w:rsidP="006E5165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CHAPITRE- III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 : Etiquette d’un produit de consommation</w:t>
      </w:r>
    </w:p>
    <w:tbl>
      <w:tblPr>
        <w:tblStyle w:val="TableGrid"/>
        <w:tblW w:w="15735" w:type="dxa"/>
        <w:tblInd w:w="108" w:type="dxa"/>
        <w:tblLook w:val="04A0"/>
      </w:tblPr>
      <w:tblGrid>
        <w:gridCol w:w="3936"/>
        <w:gridCol w:w="6391"/>
        <w:gridCol w:w="5408"/>
      </w:tblGrid>
      <w:tr w:rsidR="006E5165" w:rsidRPr="008E75BF" w:rsidTr="0090730B">
        <w:tc>
          <w:tcPr>
            <w:tcW w:w="3936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6391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408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2E0C4E" w:rsidTr="0090730B">
        <w:tc>
          <w:tcPr>
            <w:tcW w:w="3936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et les qualités qui gèrent l’étiquetage d’un produit alimentaire</w:t>
            </w:r>
          </w:p>
        </w:tc>
        <w:tc>
          <w:tcPr>
            <w:tcW w:w="6391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lois et les qualités qui gèrent l’étiquetage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ces informations à quelques produits de consommation courante.</w:t>
            </w:r>
          </w:p>
        </w:tc>
        <w:tc>
          <w:tcPr>
            <w:tcW w:w="5408" w:type="dxa"/>
          </w:tcPr>
          <w:p w:rsidR="006E5165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Accepter les droits alimentaires de l’union Européen. 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l</w:t>
            </w: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mentions obligatoires portées sur l’étiquetage</w:t>
            </w:r>
          </w:p>
        </w:tc>
      </w:tr>
    </w:tbl>
    <w:p w:rsidR="008F718D" w:rsidRPr="0090730B" w:rsidRDefault="008F718D" w:rsidP="0090730B">
      <w:pPr>
        <w:pStyle w:val="ListParagraph"/>
        <w:spacing w:after="0" w:line="240" w:lineRule="auto"/>
        <w:ind w:left="360"/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Pr="00EF4420" w:rsidRDefault="006E5165" w:rsidP="006E5165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</w:t>
      </w:r>
      <w:r w:rsidR="008F718D">
        <w:rPr>
          <w:rFonts w:asciiTheme="majorBidi" w:hAnsiTheme="majorBidi" w:cstheme="majorBidi"/>
          <w:b/>
          <w:bCs/>
          <w:sz w:val="20"/>
          <w:szCs w:val="20"/>
          <w:lang w:val="fr-FR"/>
        </w:rPr>
        <w:t>-I</w:t>
      </w:r>
      <w:r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V : Les qualités des produits alimentaires</w:t>
      </w:r>
    </w:p>
    <w:tbl>
      <w:tblPr>
        <w:tblStyle w:val="TableGrid"/>
        <w:tblW w:w="15735" w:type="dxa"/>
        <w:tblInd w:w="108" w:type="dxa"/>
        <w:tblLook w:val="04A0"/>
      </w:tblPr>
      <w:tblGrid>
        <w:gridCol w:w="3936"/>
        <w:gridCol w:w="6129"/>
        <w:gridCol w:w="5670"/>
      </w:tblGrid>
      <w:tr w:rsidR="006E5165" w:rsidRPr="008E75BF" w:rsidTr="006E5165">
        <w:tc>
          <w:tcPr>
            <w:tcW w:w="3936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6129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670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2E0C4E" w:rsidTr="006E5165">
        <w:tc>
          <w:tcPr>
            <w:tcW w:w="3936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obligatoires d’un produit alimentaire.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supplémentaires pour un aliment particulier.</w:t>
            </w:r>
          </w:p>
        </w:tc>
        <w:tc>
          <w:tcPr>
            <w:tcW w:w="6129" w:type="dxa"/>
          </w:tcPr>
          <w:p w:rsidR="006E5165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 :</w:t>
            </w:r>
          </w:p>
          <w:p w:rsidR="006E5165" w:rsidRPr="00EE01FF" w:rsidRDefault="006E5165" w:rsidP="0090730B">
            <w:pPr>
              <w:pStyle w:val="ListParagraph"/>
              <w:numPr>
                <w:ilvl w:val="0"/>
                <w:numId w:val="46"/>
              </w:numPr>
              <w:ind w:left="523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sensorielle</w:t>
            </w:r>
            <w:r w:rsid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-</w:t>
            </w: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nutritionnelle</w:t>
            </w:r>
          </w:p>
          <w:p w:rsidR="006E5165" w:rsidRPr="00EE01FF" w:rsidRDefault="006E5165" w:rsidP="0090730B">
            <w:pPr>
              <w:pStyle w:val="ListParagraph"/>
              <w:numPr>
                <w:ilvl w:val="0"/>
                <w:numId w:val="46"/>
              </w:numPr>
              <w:ind w:left="523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hygiénique</w:t>
            </w:r>
            <w:r w:rsid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 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</w:t>
            </w: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marchande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46"/>
              </w:numPr>
              <w:ind w:left="523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contrôles des denrées alimentaires.</w:t>
            </w:r>
          </w:p>
        </w:tc>
        <w:tc>
          <w:tcPr>
            <w:tcW w:w="5670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les qualités des denrées alimentaires</w:t>
            </w:r>
          </w:p>
        </w:tc>
      </w:tr>
    </w:tbl>
    <w:p w:rsidR="008F718D" w:rsidRDefault="008F718D" w:rsidP="006E5165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6E5165" w:rsidRPr="009B2E22" w:rsidRDefault="008F718D" w:rsidP="006E5165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 V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 : 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>Aliments</w:t>
      </w:r>
      <w:r w:rsidR="00A92244">
        <w:rPr>
          <w:rFonts w:asciiTheme="majorBidi" w:hAnsiTheme="majorBidi" w:cstheme="majorBidi"/>
          <w:b/>
          <w:bCs/>
          <w:sz w:val="20"/>
          <w:szCs w:val="20"/>
          <w:lang w:val="fr-FR"/>
        </w:rPr>
        <w:t> :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composition et </w:t>
      </w:r>
      <w:r w:rsidR="005C78D3">
        <w:rPr>
          <w:rFonts w:asciiTheme="majorBidi" w:hAnsiTheme="majorBidi" w:cstheme="majorBidi"/>
          <w:b/>
          <w:bCs/>
          <w:sz w:val="20"/>
          <w:szCs w:val="20"/>
          <w:lang w:val="fr-FR"/>
        </w:rPr>
        <w:t>rôle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(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La civilisation et les problèmes de santé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>)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.</w:t>
      </w:r>
    </w:p>
    <w:tbl>
      <w:tblPr>
        <w:tblStyle w:val="TableGrid"/>
        <w:tblpPr w:leftFromText="180" w:rightFromText="180" w:vertAnchor="text" w:tblpX="108" w:tblpY="1"/>
        <w:tblOverlap w:val="never"/>
        <w:tblW w:w="15735" w:type="dxa"/>
        <w:tblLook w:val="04A0"/>
      </w:tblPr>
      <w:tblGrid>
        <w:gridCol w:w="4395"/>
        <w:gridCol w:w="4961"/>
        <w:gridCol w:w="6379"/>
      </w:tblGrid>
      <w:tr w:rsidR="006E5165" w:rsidTr="006E5165">
        <w:tc>
          <w:tcPr>
            <w:tcW w:w="439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4961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379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2E0C4E" w:rsidTr="006E5165">
        <w:tc>
          <w:tcPr>
            <w:tcW w:w="4395" w:type="dxa"/>
          </w:tcPr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que l’habitude alimentaire dépend de l’activité de l’individu et vraie selon les régions.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Constater que malgré la diversité des aliments leur composition chimique est limitée.</w:t>
            </w:r>
          </w:p>
          <w:p w:rsidR="006E5165" w:rsidRPr="0090730B" w:rsidRDefault="006E5165" w:rsidP="0090730B">
            <w:pPr>
              <w:pStyle w:val="ListParagraph"/>
              <w:ind w:lef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</w:tcPr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aliments selon leur richesse en protides, glucides, lipides, eau, vitamines et les sels minéraux.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Apprendre à composer et à préparer un repas équilibré.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Respecter les règles et les conseils pratiques pour une alimentation équilibrée.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aliments riches en protides, lipides, glucides, et en eau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que les besoins qualitatifs de l’organisme doivent apporter un certains nombres de substances indispensables à son bon fonctionnement</w:t>
            </w:r>
          </w:p>
        </w:tc>
        <w:tc>
          <w:tcPr>
            <w:tcW w:w="6379" w:type="dxa"/>
          </w:tcPr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aliments acides et aliments basiques.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l’importance et le rôle de l’eau des protides, des lipides, des glucides, et des vitamines dans un aliment.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Lire et comprendre la composition chimique des principaux aliments mentionnés dans les tableaux.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changements de conditions de vie, de travail et d’habitat comme étant responsable des maladies de la civilisation sur nos habitudes alimentaires.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qu’une bonne alimentation équilibrée et les carences vitaminiques</w:t>
            </w:r>
          </w:p>
          <w:p w:rsidR="006E5165" w:rsidRPr="0090730B" w:rsidRDefault="006E5165" w:rsidP="0090730B">
            <w:pPr>
              <w:pStyle w:val="ListParagraph"/>
              <w:ind w:lef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Default="006E5165" w:rsidP="006E5165">
      <w:pPr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Default="006E5165" w:rsidP="006E5165">
      <w:pPr>
        <w:rPr>
          <w:lang w:val="fr-FR"/>
        </w:rPr>
      </w:pPr>
    </w:p>
    <w:p w:rsidR="006E5165" w:rsidRDefault="006E5165" w:rsidP="006E5165">
      <w:pPr>
        <w:rPr>
          <w:lang w:val="fr-FR"/>
        </w:rPr>
      </w:pPr>
    </w:p>
    <w:p w:rsidR="006E5165" w:rsidRDefault="006E5165" w:rsidP="006E5165">
      <w:pPr>
        <w:rPr>
          <w:lang w:val="fr-FR"/>
        </w:rPr>
      </w:pPr>
    </w:p>
    <w:p w:rsidR="006E5165" w:rsidRDefault="006E5165" w:rsidP="006E516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24CD2" w:rsidRDefault="00E24CD2" w:rsidP="00E24CD2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B4BA5" w:rsidRDefault="00EB4BA5" w:rsidP="00EB4BA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872613" w:rsidRDefault="00872613" w:rsidP="0087261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872613" w:rsidRDefault="00872613" w:rsidP="0087261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B4BA5" w:rsidRDefault="00EB4BA5" w:rsidP="00EB4BA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15DA5" w:rsidRDefault="00615DA5" w:rsidP="00615DA5">
      <w:pPr>
        <w:jc w:val="center"/>
        <w:rPr>
          <w:sz w:val="32"/>
          <w:szCs w:val="32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 -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 : 2020 (30→20periodes) </w:t>
      </w:r>
    </w:p>
    <w:p w:rsidR="00615DA5" w:rsidRDefault="00615DA5" w:rsidP="00615DA5">
      <w:pPr>
        <w:tabs>
          <w:tab w:val="center" w:pos="6793"/>
        </w:tabs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(- عناية تمريضية- مراقب صحي)</w:t>
      </w:r>
    </w:p>
    <w:p w:rsidR="006E5165" w:rsidRPr="00D41410" w:rsidRDefault="001526F3" w:rsidP="001526F3">
      <w:pPr>
        <w:spacing w:after="0" w:line="240" w:lineRule="auto"/>
        <w:rPr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BT2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:Physique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  <w:r w:rsidR="006E5165" w:rsidRPr="0090730B">
        <w:rPr>
          <w:b/>
          <w:bCs/>
          <w:sz w:val="28"/>
          <w:szCs w:val="28"/>
          <w:lang w:val="fr-FR"/>
        </w:rPr>
        <w:t>Chapitre – 1  - Les lentilles</w:t>
      </w:r>
    </w:p>
    <w:tbl>
      <w:tblPr>
        <w:tblStyle w:val="TableGrid"/>
        <w:tblpPr w:leftFromText="180" w:rightFromText="180" w:vertAnchor="text" w:horzAnchor="margin" w:tblpX="250" w:tblpY="179"/>
        <w:tblOverlap w:val="never"/>
        <w:tblW w:w="15701" w:type="dxa"/>
        <w:tblLayout w:type="fixed"/>
        <w:tblLook w:val="04A0"/>
      </w:tblPr>
      <w:tblGrid>
        <w:gridCol w:w="3227"/>
        <w:gridCol w:w="5812"/>
        <w:gridCol w:w="6662"/>
      </w:tblGrid>
      <w:tr w:rsidR="006E5165" w:rsidTr="006E5165">
        <w:tc>
          <w:tcPr>
            <w:tcW w:w="3227" w:type="dxa"/>
          </w:tcPr>
          <w:p w:rsidR="006E5165" w:rsidRPr="009C36B0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2" w:type="dxa"/>
          </w:tcPr>
          <w:p w:rsidR="006E5165" w:rsidRPr="009C36B0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62" w:type="dxa"/>
          </w:tcPr>
          <w:p w:rsidR="006E5165" w:rsidRPr="009C36B0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6E5165" w:rsidRPr="002E0C4E" w:rsidTr="006E5165">
        <w:tc>
          <w:tcPr>
            <w:tcW w:w="3227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la lentille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Connaitre les types de la lentille </w:t>
            </w:r>
          </w:p>
        </w:tc>
        <w:tc>
          <w:tcPr>
            <w:tcW w:w="5812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 les types des lentilles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Tracer la marche des rayons lumineux à travers les lentilles </w:t>
            </w:r>
          </w:p>
        </w:tc>
        <w:tc>
          <w:tcPr>
            <w:tcW w:w="6662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Construire l’image donnée par les lentilles</w:t>
            </w:r>
          </w:p>
          <w:p w:rsidR="006E5165" w:rsidRPr="00F805F8" w:rsidRDefault="006E5165" w:rsidP="00F805F8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ind w:left="0" w:firstLine="33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Préciser les caractéristiques des images graphiquement  et par calcul    </w:t>
            </w:r>
          </w:p>
        </w:tc>
      </w:tr>
    </w:tbl>
    <w:p w:rsidR="006E5165" w:rsidRDefault="006E5165" w:rsidP="006E5165">
      <w:pPr>
        <w:spacing w:after="0"/>
        <w:ind w:left="360"/>
        <w:jc w:val="center"/>
        <w:rPr>
          <w:lang w:val="fr-FR"/>
        </w:rPr>
      </w:pPr>
    </w:p>
    <w:p w:rsidR="006E5165" w:rsidRPr="0090730B" w:rsidRDefault="006E5165" w:rsidP="0090730B">
      <w:pPr>
        <w:spacing w:after="0"/>
        <w:ind w:left="36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 – 2-</w:t>
      </w:r>
      <w:r w:rsid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L’</w:t>
      </w:r>
      <w:r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Œil </w:t>
      </w:r>
      <w:r w:rsid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et la vision</w:t>
      </w:r>
    </w:p>
    <w:tbl>
      <w:tblPr>
        <w:tblStyle w:val="TableGrid"/>
        <w:tblpPr w:leftFromText="180" w:rightFromText="180" w:vertAnchor="text" w:horzAnchor="margin" w:tblpX="250" w:tblpY="9"/>
        <w:tblW w:w="15701" w:type="dxa"/>
        <w:tblLayout w:type="fixed"/>
        <w:tblLook w:val="04A0"/>
      </w:tblPr>
      <w:tblGrid>
        <w:gridCol w:w="3772"/>
        <w:gridCol w:w="5300"/>
        <w:gridCol w:w="6629"/>
      </w:tblGrid>
      <w:tr w:rsidR="006E5165" w:rsidTr="006E5165">
        <w:tc>
          <w:tcPr>
            <w:tcW w:w="3772" w:type="dxa"/>
          </w:tcPr>
          <w:p w:rsidR="006E5165" w:rsidRPr="00FC5DD8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300" w:type="dxa"/>
          </w:tcPr>
          <w:p w:rsidR="006E5165" w:rsidRPr="00FC5DD8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29" w:type="dxa"/>
          </w:tcPr>
          <w:p w:rsidR="006E5165" w:rsidRPr="00FC5DD8" w:rsidRDefault="006E5165" w:rsidP="006E5165">
            <w:pPr>
              <w:tabs>
                <w:tab w:val="left" w:pos="2242"/>
                <w:tab w:val="center" w:pos="4204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6E5165" w:rsidRPr="002E0C4E" w:rsidTr="006E5165">
        <w:tc>
          <w:tcPr>
            <w:tcW w:w="3772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l’œil réduit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l’accommodation 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Nommer le défaut de l’œil </w:t>
            </w:r>
          </w:p>
        </w:tc>
        <w:tc>
          <w:tcPr>
            <w:tcW w:w="5300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 mécanisme de l’accommodation  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Renoncer le problème de chaque cas de l’œil en défaut </w:t>
            </w:r>
          </w:p>
        </w:tc>
        <w:tc>
          <w:tcPr>
            <w:tcW w:w="6629" w:type="dxa"/>
          </w:tcPr>
          <w:p w:rsidR="006E5165" w:rsidRPr="00F805F8" w:rsidRDefault="006E5165" w:rsidP="00F805F8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284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Différencier entre œil normal et œil en défaut 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Corriger le défaut de l’œil     </w:t>
            </w:r>
          </w:p>
        </w:tc>
      </w:tr>
    </w:tbl>
    <w:p w:rsidR="006E5165" w:rsidRDefault="006E5165" w:rsidP="006E5165">
      <w:pPr>
        <w:spacing w:after="0"/>
        <w:ind w:left="360"/>
        <w:jc w:val="center"/>
        <w:rPr>
          <w:lang w:val="fr-FR"/>
        </w:rPr>
      </w:pPr>
    </w:p>
    <w:p w:rsidR="006E5165" w:rsidRPr="00F805F8" w:rsidRDefault="00F805F8" w:rsidP="0090730B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BT2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Chimie)</w:t>
      </w:r>
      <w:r w:rsidR="0090730B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</w:t>
      </w:r>
      <w:r w:rsid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1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 : Les additifs alimentaires</w:t>
      </w:r>
    </w:p>
    <w:tbl>
      <w:tblPr>
        <w:tblStyle w:val="TableGrid"/>
        <w:tblW w:w="15593" w:type="dxa"/>
        <w:tblInd w:w="108" w:type="dxa"/>
        <w:tblLook w:val="04A0"/>
      </w:tblPr>
      <w:tblGrid>
        <w:gridCol w:w="5103"/>
        <w:gridCol w:w="5245"/>
        <w:gridCol w:w="5245"/>
      </w:tblGrid>
      <w:tr w:rsidR="006E5165" w:rsidTr="00F805F8">
        <w:tc>
          <w:tcPr>
            <w:tcW w:w="5103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24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2E0C4E" w:rsidTr="00F805F8">
        <w:tc>
          <w:tcPr>
            <w:tcW w:w="5103" w:type="dxa"/>
          </w:tcPr>
          <w:p w:rsidR="006E5165" w:rsidRPr="005931EB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qui régissent l’industrie alimentaire.</w:t>
            </w:r>
          </w:p>
          <w:p w:rsidR="006E5165" w:rsidRPr="005931EB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conditions d’utilisations des additifs alimentaires définies par les lois.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additifs en fonction de leurs rôles</w:t>
            </w:r>
          </w:p>
        </w:tc>
        <w:tc>
          <w:tcPr>
            <w:tcW w:w="5245" w:type="dxa"/>
          </w:tcPr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Origine du droit de l’alimentation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Découvrir les principes généraux régissant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l’utilisation d’additifs dans les denrées alimentaires.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 l’é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tude fonctionnelle des additifs</w:t>
            </w:r>
          </w:p>
        </w:tc>
        <w:tc>
          <w:tcPr>
            <w:tcW w:w="5245" w:type="dxa"/>
          </w:tcPr>
          <w:p w:rsidR="006E5165" w:rsidRPr="005931EB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additifs en fonction de leurs rôles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: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colorants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="003B3471"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antioxydants</w:t>
            </w:r>
            <w:r w:rsidR="003B347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 préservatives,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acidifiants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édulcorants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…</w:t>
            </w:r>
          </w:p>
          <w:p w:rsidR="006E5165" w:rsidRDefault="006E5165" w:rsidP="003B3471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Default="006E5165" w:rsidP="003B3471">
      <w:pPr>
        <w:pStyle w:val="ListParagraph"/>
        <w:spacing w:after="0" w:line="240" w:lineRule="auto"/>
        <w:ind w:left="402"/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Pr="0090730B" w:rsidRDefault="0090730B" w:rsidP="0090730B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Chapitre2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: Four à micro-ondes</w:t>
      </w:r>
    </w:p>
    <w:tbl>
      <w:tblPr>
        <w:tblStyle w:val="TableGrid"/>
        <w:tblW w:w="15593" w:type="dxa"/>
        <w:tblInd w:w="108" w:type="dxa"/>
        <w:tblLook w:val="04A0"/>
      </w:tblPr>
      <w:tblGrid>
        <w:gridCol w:w="4678"/>
        <w:gridCol w:w="4678"/>
        <w:gridCol w:w="6237"/>
      </w:tblGrid>
      <w:tr w:rsidR="006E5165" w:rsidTr="00F805F8">
        <w:tc>
          <w:tcPr>
            <w:tcW w:w="4678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678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237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2E0C4E" w:rsidTr="00F805F8">
        <w:tc>
          <w:tcPr>
            <w:tcW w:w="4678" w:type="dxa"/>
          </w:tcPr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mode de fonctionnement d’un four à micro-onde</w:t>
            </w:r>
          </w:p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quelques unités</w:t>
            </w:r>
          </w:p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l’effet des U.H.F. sur la matière</w:t>
            </w:r>
          </w:p>
          <w:p w:rsidR="006E5165" w:rsidRDefault="006E5165" w:rsidP="003B3471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</w:tcPr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l’effet de la cuisson sur la qualité des aliments. Comparaison entre la cuisson traditionnelle et la cuisson par U.H.F.</w:t>
            </w:r>
          </w:p>
          <w:p w:rsidR="006E5165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applications des fours à micro-onde pour chauffer les aliments et pour les décongeler.</w:t>
            </w:r>
          </w:p>
        </w:tc>
        <w:tc>
          <w:tcPr>
            <w:tcW w:w="6237" w:type="dxa"/>
          </w:tcPr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233" w:hanging="233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d’autres utilisations industrielles des aliments par U.H.F : Blanchiment, stérilisation,...</w:t>
            </w:r>
          </w:p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Accepter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certaines consignes d’utilisations des fours à micro-onde.</w:t>
            </w:r>
          </w:p>
          <w:p w:rsidR="006E5165" w:rsidRDefault="006E5165" w:rsidP="00615DA5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Pr="00615DA5" w:rsidRDefault="00615DA5" w:rsidP="00615DA5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Chapitre3</w:t>
      </w:r>
      <w:r w:rsidR="006E5165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: L’eau</w:t>
      </w:r>
    </w:p>
    <w:tbl>
      <w:tblPr>
        <w:tblStyle w:val="TableGrid"/>
        <w:tblpPr w:leftFromText="180" w:rightFromText="180" w:vertAnchor="text" w:tblpX="108" w:tblpY="1"/>
        <w:tblOverlap w:val="never"/>
        <w:tblW w:w="15593" w:type="dxa"/>
        <w:tblLook w:val="04A0"/>
      </w:tblPr>
      <w:tblGrid>
        <w:gridCol w:w="4678"/>
        <w:gridCol w:w="4587"/>
        <w:gridCol w:w="6328"/>
      </w:tblGrid>
      <w:tr w:rsidR="006E5165" w:rsidTr="00615DA5">
        <w:tc>
          <w:tcPr>
            <w:tcW w:w="4678" w:type="dxa"/>
          </w:tcPr>
          <w:p w:rsidR="006E5165" w:rsidRDefault="006E5165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587" w:type="dxa"/>
          </w:tcPr>
          <w:p w:rsidR="006E5165" w:rsidRDefault="006E5165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328" w:type="dxa"/>
          </w:tcPr>
          <w:p w:rsidR="006E5165" w:rsidRDefault="006E5165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Savoie être</w:t>
            </w:r>
          </w:p>
        </w:tc>
      </w:tr>
      <w:tr w:rsidR="006E5165" w:rsidRPr="002E0C4E" w:rsidTr="00615DA5">
        <w:tc>
          <w:tcPr>
            <w:tcW w:w="4678" w:type="dxa"/>
          </w:tcPr>
          <w:p w:rsidR="006E5165" w:rsidRPr="00A52C13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l’importance et le rôle de l’eau.</w:t>
            </w:r>
          </w:p>
          <w:p w:rsidR="006E5165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différentes catégories de l’eau et montrer que les eaux naturelles sont des mélanges en présentant ses compositions ses propriétés et ses applicati</w:t>
            </w:r>
            <w:r w:rsid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ons.</w:t>
            </w:r>
          </w:p>
        </w:tc>
        <w:tc>
          <w:tcPr>
            <w:tcW w:w="4587" w:type="dxa"/>
          </w:tcPr>
          <w:p w:rsidR="006E5165" w:rsidRPr="00A52C13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Découvrir 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composition de plusieurs eaux minérales.</w:t>
            </w:r>
          </w:p>
          <w:p w:rsidR="006E5165" w:rsidRPr="00A52C13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l’importance de chaque ion présent.</w:t>
            </w:r>
          </w:p>
          <w:p w:rsidR="006E5165" w:rsidRDefault="006E5165" w:rsidP="00615DA5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328" w:type="dxa"/>
          </w:tcPr>
          <w:p w:rsidR="006E5165" w:rsidRPr="00AF26E0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l’eau dure et l’eau potable et déduire les caractères de chacune d’elles.</w:t>
            </w:r>
          </w:p>
          <w:p w:rsidR="006E5165" w:rsidRPr="00AF26E0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la dureté de l’eau</w:t>
            </w:r>
          </w:p>
          <w:p w:rsidR="006E5165" w:rsidRPr="00AF26E0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AF26E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différentes catégories d’une eau potable.</w:t>
            </w:r>
          </w:p>
          <w:p w:rsidR="006E5165" w:rsidRPr="001120DB" w:rsidRDefault="006E516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quelques additifs dans les eaux de bo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isson : CO2 - Sucre - acides </w:t>
            </w:r>
          </w:p>
        </w:tc>
      </w:tr>
    </w:tbl>
    <w:p w:rsidR="00E24CD2" w:rsidRDefault="00E24CD2" w:rsidP="006E5165">
      <w:pPr>
        <w:rPr>
          <w:lang w:val="fr-FR"/>
        </w:rPr>
      </w:pPr>
    </w:p>
    <w:p w:rsidR="00E24CD2" w:rsidRDefault="00E24CD2" w:rsidP="006E5165">
      <w:pPr>
        <w:rPr>
          <w:lang w:val="fr-FR"/>
        </w:rPr>
      </w:pPr>
    </w:p>
    <w:p w:rsidR="00E24CD2" w:rsidRDefault="00E24CD2" w:rsidP="006E5165">
      <w:pPr>
        <w:rPr>
          <w:lang w:val="fr-FR"/>
        </w:rPr>
      </w:pPr>
    </w:p>
    <w:p w:rsidR="00E24CD2" w:rsidRPr="00615DA5" w:rsidRDefault="00615DA5" w:rsidP="00615DA5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 4</w:t>
      </w:r>
      <w:r w:rsidR="00E24CD2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 : </w:t>
      </w:r>
      <w:r w:rsidR="00782935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Savons et </w:t>
      </w:r>
      <w:r w:rsidR="00B508F7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détergents</w:t>
      </w:r>
    </w:p>
    <w:tbl>
      <w:tblPr>
        <w:tblStyle w:val="TableGrid"/>
        <w:tblW w:w="15593" w:type="dxa"/>
        <w:tblInd w:w="108" w:type="dxa"/>
        <w:tblLook w:val="04A0"/>
      </w:tblPr>
      <w:tblGrid>
        <w:gridCol w:w="5670"/>
        <w:gridCol w:w="3686"/>
        <w:gridCol w:w="6237"/>
      </w:tblGrid>
      <w:tr w:rsidR="00E24CD2" w:rsidTr="001526F3">
        <w:tc>
          <w:tcPr>
            <w:tcW w:w="5670" w:type="dxa"/>
          </w:tcPr>
          <w:p w:rsidR="00E24CD2" w:rsidRDefault="00E24CD2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686" w:type="dxa"/>
          </w:tcPr>
          <w:p w:rsidR="00E24CD2" w:rsidRDefault="00E24CD2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237" w:type="dxa"/>
          </w:tcPr>
          <w:p w:rsidR="00E24CD2" w:rsidRDefault="00E24CD2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E24CD2" w:rsidRPr="002E0C4E" w:rsidTr="001526F3">
        <w:tc>
          <w:tcPr>
            <w:tcW w:w="5670" w:type="dxa"/>
          </w:tcPr>
          <w:p w:rsidR="00E24CD2" w:rsidRDefault="00E24CD2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Citez les principaux constituants des matières grasses. </w:t>
            </w:r>
          </w:p>
          <w:p w:rsidR="00782935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principaux additifs dans les savons commerciaux.</w:t>
            </w:r>
          </w:p>
          <w:p w:rsidR="00E24CD2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Citez les principales caractéristiques d’un détergent et préciser leur rôle : EDTA, antioxydant, les colorants.</w:t>
            </w:r>
          </w:p>
        </w:tc>
        <w:tc>
          <w:tcPr>
            <w:tcW w:w="3686" w:type="dxa"/>
          </w:tcPr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 xml:space="preserve">Décrire la réaction de saponification. </w:t>
            </w:r>
          </w:p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principe de détergence.</w:t>
            </w:r>
          </w:p>
          <w:p w:rsidR="00E24CD2" w:rsidRPr="00615DA5" w:rsidRDefault="00E24CD2" w:rsidP="00615DA5">
            <w:pPr>
              <w:pStyle w:val="ListParagraph"/>
              <w:ind w:left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237" w:type="dxa"/>
          </w:tcPr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Testez l’efficacité du savon dans : l’eau douce, l’eau dure et l’eau de mer.</w:t>
            </w:r>
          </w:p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Donner la composition moyenne d’un savon</w:t>
            </w:r>
          </w:p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additifs dans le savon : EDTA, antioxydant, les colorants.</w:t>
            </w:r>
          </w:p>
          <w:p w:rsidR="00E24CD2" w:rsidRPr="00615DA5" w:rsidRDefault="00E24CD2" w:rsidP="00615DA5">
            <w:pPr>
              <w:pStyle w:val="ListParagraph"/>
              <w:ind w:left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4C35BB" w:rsidRPr="004C35BB" w:rsidRDefault="00EC456D" w:rsidP="004C35BB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lastRenderedPageBreak/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(عناية تمريضية- مراقب صحي -)</w:t>
      </w:r>
    </w:p>
    <w:p w:rsidR="00813CA8" w:rsidRDefault="006E5165" w:rsidP="00813CA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 xml:space="preserve">BT3- </w:t>
      </w:r>
      <w:r w:rsidR="00EC456D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>(60→40periodes</w:t>
      </w:r>
      <w:proofErr w:type="gramStart"/>
      <w:r w:rsidR="00EC456D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>)</w:t>
      </w:r>
      <w:r w:rsidRPr="00FB359F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>–</w:t>
      </w:r>
      <w:proofErr w:type="spellStart"/>
      <w:proofErr w:type="gram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 2020</w:t>
      </w:r>
    </w:p>
    <w:p w:rsidR="004C35BB" w:rsidRPr="004C35BB" w:rsidRDefault="004C35BB" w:rsidP="004C35BB">
      <w:pPr>
        <w:spacing w:after="0" w:line="240" w:lineRule="auto"/>
        <w:jc w:val="center"/>
        <w:rPr>
          <w:rFonts w:cstheme="minorHAnsi"/>
          <w:sz w:val="28"/>
          <w:szCs w:val="28"/>
          <w:lang w:val="fr-FR" w:eastAsia="fr-FR"/>
        </w:rPr>
      </w:pPr>
      <w:r w:rsidRPr="004C35BB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Chapitre-1-</w:t>
      </w:r>
      <w:r w:rsidRPr="004C35BB">
        <w:rPr>
          <w:rFonts w:cstheme="minorHAnsi"/>
          <w:sz w:val="28"/>
          <w:szCs w:val="28"/>
          <w:lang w:val="fr-FR" w:eastAsia="fr-FR"/>
        </w:rPr>
        <w:t>Onde mécanique et ses applications</w:t>
      </w:r>
    </w:p>
    <w:tbl>
      <w:tblPr>
        <w:tblStyle w:val="TableGrid"/>
        <w:tblpPr w:leftFromText="180" w:rightFromText="180" w:vertAnchor="page" w:horzAnchor="margin" w:tblpXSpec="center" w:tblpY="1306"/>
        <w:tblW w:w="14601" w:type="dxa"/>
        <w:tblLook w:val="04A0"/>
      </w:tblPr>
      <w:tblGrid>
        <w:gridCol w:w="4928"/>
        <w:gridCol w:w="5103"/>
        <w:gridCol w:w="4570"/>
      </w:tblGrid>
      <w:tr w:rsidR="00813CA8" w:rsidTr="00813CA8">
        <w:tc>
          <w:tcPr>
            <w:tcW w:w="4928" w:type="dxa"/>
          </w:tcPr>
          <w:p w:rsidR="00813CA8" w:rsidRPr="00451F7B" w:rsidRDefault="00813CA8" w:rsidP="00813CA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103" w:type="dxa"/>
          </w:tcPr>
          <w:p w:rsidR="00813CA8" w:rsidRPr="00451F7B" w:rsidRDefault="00813CA8" w:rsidP="00813CA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4570" w:type="dxa"/>
          </w:tcPr>
          <w:p w:rsidR="00813CA8" w:rsidRPr="00451F7B" w:rsidRDefault="00813CA8" w:rsidP="00813CA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13CA8" w:rsidRPr="002E0C4E" w:rsidTr="00813CA8">
        <w:tc>
          <w:tcPr>
            <w:tcW w:w="4928" w:type="dxa"/>
          </w:tcPr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l’onde mécanique </w:t>
            </w:r>
          </w:p>
          <w:p w:rsidR="00813CA8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Connaitre la propriété de l’onde mécanique</w:t>
            </w:r>
          </w:p>
          <w:p w:rsidR="00813CA8" w:rsidRPr="00C76703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Connaitre que le son est dû à la propagation de vibration mécanique </w:t>
            </w:r>
          </w:p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Connaitre les formules de la vitesse du son dans les trois états de la matière</w:t>
            </w:r>
          </w:p>
          <w:p w:rsidR="00813CA8" w:rsidRPr="00F75B82" w:rsidRDefault="00813CA8" w:rsidP="00813CA8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103" w:type="dxa"/>
          </w:tcPr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Identifier la caractéristique de l’onde mécanique</w:t>
            </w:r>
          </w:p>
          <w:p w:rsidR="00813CA8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Distinguer les types de l’onde mécanique</w:t>
            </w:r>
          </w:p>
          <w:p w:rsidR="00813CA8" w:rsidRPr="00C76703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Expliquer expérimentalement que le son a besoin d’un milieu matériel  pour se propager</w:t>
            </w:r>
          </w:p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 w:eastAsia="fr-FR"/>
              </w:rPr>
              <w:t>Caractériser les sons audibles et inaudibles</w:t>
            </w:r>
          </w:p>
          <w:p w:rsidR="00813CA8" w:rsidRPr="00F75B82" w:rsidRDefault="00813CA8" w:rsidP="00813CA8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4570" w:type="dxa"/>
          </w:tcPr>
          <w:p w:rsidR="00813CA8" w:rsidRPr="00F75B82" w:rsidRDefault="00813CA8" w:rsidP="00813CA8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Représenter l’onde mécanique</w:t>
            </w:r>
          </w:p>
          <w:p w:rsidR="00813CA8" w:rsidRDefault="00813CA8" w:rsidP="00813CA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Appliquer les relations entre les caractéristiques de l’onde mécanique</w:t>
            </w:r>
          </w:p>
          <w:p w:rsidR="00813CA8" w:rsidRPr="00C76703" w:rsidRDefault="00813CA8" w:rsidP="00813CA8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Réciter les facteurs de vitesse du son  </w:t>
            </w:r>
          </w:p>
          <w:p w:rsidR="00813CA8" w:rsidRPr="00F75B82" w:rsidRDefault="00813CA8" w:rsidP="00813CA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:rsidR="004C35BB" w:rsidRDefault="004C35BB" w:rsidP="004C35B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35BB" w:rsidRDefault="004C35BB" w:rsidP="00EC456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35BB" w:rsidRDefault="004C35BB" w:rsidP="004C35BB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35BB" w:rsidRDefault="004C35BB" w:rsidP="00EC456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E705D9" w:rsidRPr="00813CA8" w:rsidRDefault="00813CA8" w:rsidP="00813CA8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813CA8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Chapitre-2</w:t>
      </w:r>
      <w:r w:rsidRPr="00813CA8">
        <w:rPr>
          <w:rFonts w:asciiTheme="majorBidi" w:hAnsiTheme="majorBidi" w:cstheme="majorBidi"/>
          <w:sz w:val="28"/>
          <w:szCs w:val="28"/>
          <w:lang w:val="fr-FR"/>
        </w:rPr>
        <w:t>-Onde électromagnétique</w:t>
      </w:r>
    </w:p>
    <w:p w:rsidR="00E705D9" w:rsidRDefault="00E705D9" w:rsidP="00E705D9">
      <w:pPr>
        <w:spacing w:after="0" w:line="240" w:lineRule="auto"/>
        <w:jc w:val="center"/>
        <w:rPr>
          <w:rFonts w:cstheme="minorHAnsi"/>
          <w:sz w:val="32"/>
          <w:szCs w:val="32"/>
          <w:lang w:val="fr-FR" w:eastAsia="fr-FR"/>
        </w:rPr>
      </w:pPr>
    </w:p>
    <w:p w:rsidR="006E5165" w:rsidRDefault="006E5165" w:rsidP="00A92244">
      <w:pPr>
        <w:spacing w:after="0" w:line="240" w:lineRule="auto"/>
        <w:jc w:val="center"/>
        <w:rPr>
          <w:rFonts w:cstheme="minorHAnsi"/>
          <w:sz w:val="32"/>
          <w:szCs w:val="32"/>
          <w:lang w:val="fr-FR" w:eastAsia="fr-FR"/>
        </w:rPr>
      </w:pPr>
    </w:p>
    <w:tbl>
      <w:tblPr>
        <w:tblStyle w:val="TableGrid"/>
        <w:tblpPr w:leftFromText="180" w:rightFromText="180" w:vertAnchor="page" w:horzAnchor="margin" w:tblpXSpec="center" w:tblpY="3892"/>
        <w:tblW w:w="14992" w:type="dxa"/>
        <w:tblLook w:val="04A0"/>
      </w:tblPr>
      <w:tblGrid>
        <w:gridCol w:w="5104"/>
        <w:gridCol w:w="3827"/>
        <w:gridCol w:w="6061"/>
      </w:tblGrid>
      <w:tr w:rsidR="00E705D9" w:rsidTr="00E705D9">
        <w:tc>
          <w:tcPr>
            <w:tcW w:w="5104" w:type="dxa"/>
          </w:tcPr>
          <w:p w:rsidR="00E705D9" w:rsidRPr="00797AC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827" w:type="dxa"/>
          </w:tcPr>
          <w:p w:rsidR="00E705D9" w:rsidRPr="00797AC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061" w:type="dxa"/>
          </w:tcPr>
          <w:p w:rsidR="00E705D9" w:rsidRPr="00797AC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705D9" w:rsidRPr="002E0C4E" w:rsidTr="00E705D9">
        <w:tc>
          <w:tcPr>
            <w:tcW w:w="5104" w:type="dxa"/>
          </w:tcPr>
          <w:p w:rsidR="00E705D9" w:rsidRPr="00062B2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Définir l’onde électromagnétique </w:t>
            </w:r>
          </w:p>
          <w:p w:rsidR="00E705D9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Connaitre la nature du rayonnement thermique </w:t>
            </w:r>
          </w:p>
          <w:p w:rsidR="00E705D9" w:rsidRPr="00A92244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2244">
              <w:rPr>
                <w:rFonts w:asciiTheme="majorBidi" w:hAnsiTheme="majorBidi" w:cstheme="majorBidi"/>
                <w:lang w:val="fr-FR" w:eastAsia="fr-FR"/>
              </w:rPr>
              <w:t>Citer les propriétés et les caractéristiques du faisceau laser</w:t>
            </w:r>
          </w:p>
          <w:p w:rsidR="00E705D9" w:rsidRPr="00062B22" w:rsidRDefault="00E705D9" w:rsidP="00E705D9">
            <w:pPr>
              <w:rPr>
                <w:rFonts w:asciiTheme="majorBidi" w:hAnsiTheme="majorBidi" w:cstheme="majorBidi"/>
                <w:lang w:val="fr-FR"/>
              </w:rPr>
            </w:pPr>
          </w:p>
          <w:p w:rsidR="00E705D9" w:rsidRPr="00062B22" w:rsidRDefault="00E705D9" w:rsidP="00E705D9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827" w:type="dxa"/>
          </w:tcPr>
          <w:p w:rsidR="00E705D9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>Identifier le spectre électromagnétique</w:t>
            </w:r>
          </w:p>
          <w:p w:rsidR="00E705D9" w:rsidRPr="00062B2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2244">
              <w:rPr>
                <w:rFonts w:asciiTheme="majorBidi" w:hAnsiTheme="majorBidi" w:cstheme="majorBidi"/>
                <w:lang w:val="fr-FR" w:eastAsia="fr-FR"/>
              </w:rPr>
              <w:t>Identifier la lumière du laser</w:t>
            </w:r>
          </w:p>
          <w:p w:rsidR="00E705D9" w:rsidRPr="00062B22" w:rsidRDefault="00E705D9" w:rsidP="00E705D9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061" w:type="dxa"/>
          </w:tcPr>
          <w:p w:rsidR="00E705D9" w:rsidRPr="00062B22" w:rsidRDefault="00E705D9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Classifier les ondes électromagnétiques selon leurs fréquences </w:t>
            </w:r>
          </w:p>
          <w:p w:rsidR="00E705D9" w:rsidRDefault="00E705D9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>Appliquer pratiquement l’usage des rayonnements : infrarouge, ultraviolet et rayon X</w:t>
            </w:r>
          </w:p>
          <w:p w:rsidR="00E705D9" w:rsidRPr="00062B22" w:rsidRDefault="00E705D9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A92244">
              <w:rPr>
                <w:rFonts w:asciiTheme="majorBidi" w:hAnsiTheme="majorBidi" w:cstheme="majorBidi"/>
                <w:lang w:val="fr-FR" w:eastAsia="fr-FR"/>
              </w:rPr>
              <w:t>Signaler les domaines d’application de la lumière laser</w:t>
            </w:r>
          </w:p>
        </w:tc>
      </w:tr>
    </w:tbl>
    <w:p w:rsidR="006E5165" w:rsidRDefault="006E5165" w:rsidP="006E5165">
      <w:pPr>
        <w:jc w:val="lowKashida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A92244" w:rsidRDefault="00A92244" w:rsidP="00A92244">
      <w:pPr>
        <w:spacing w:after="0" w:line="240" w:lineRule="auto"/>
        <w:ind w:right="232"/>
        <w:rPr>
          <w:rFonts w:ascii="Arial" w:hAnsi="Arial"/>
          <w:lang w:val="fr-FR" w:eastAsia="fr-FR"/>
        </w:rPr>
      </w:pPr>
    </w:p>
    <w:p w:rsidR="006E5165" w:rsidRPr="004C35BB" w:rsidRDefault="006E5165" w:rsidP="004C35B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813CA8" w:rsidRPr="004C35BB" w:rsidRDefault="00813CA8" w:rsidP="00813CA8">
      <w:pPr>
        <w:spacing w:after="0"/>
        <w:ind w:left="284" w:hanging="284"/>
        <w:jc w:val="center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813CA8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Chapitre-3</w:t>
      </w: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Pr="004C35BB">
        <w:rPr>
          <w:rFonts w:asciiTheme="majorBidi" w:hAnsiTheme="majorBidi" w:cstheme="majorBidi"/>
          <w:sz w:val="28"/>
          <w:szCs w:val="28"/>
          <w:lang w:val="fr-FR"/>
        </w:rPr>
        <w:t>Radioactivité – réactions nucléaires provoqué – Danger</w:t>
      </w:r>
    </w:p>
    <w:p w:rsidR="006E5165" w:rsidRDefault="006E5165" w:rsidP="00E705D9">
      <w:pPr>
        <w:tabs>
          <w:tab w:val="left" w:pos="5842"/>
        </w:tabs>
        <w:spacing w:after="0" w:line="240" w:lineRule="auto"/>
        <w:rPr>
          <w:rFonts w:asciiTheme="majorHAnsi" w:hAnsiTheme="majorHAnsi"/>
          <w:sz w:val="32"/>
          <w:szCs w:val="32"/>
          <w:lang w:val="fr-FR"/>
        </w:rPr>
      </w:pPr>
    </w:p>
    <w:tbl>
      <w:tblPr>
        <w:tblStyle w:val="TableGrid"/>
        <w:tblpPr w:leftFromText="180" w:rightFromText="180" w:vertAnchor="page" w:horzAnchor="margin" w:tblpXSpec="center" w:tblpY="6602"/>
        <w:tblW w:w="14709" w:type="dxa"/>
        <w:tblLook w:val="04A0"/>
      </w:tblPr>
      <w:tblGrid>
        <w:gridCol w:w="4962"/>
        <w:gridCol w:w="4962"/>
        <w:gridCol w:w="4785"/>
      </w:tblGrid>
      <w:tr w:rsidR="00E705D9" w:rsidTr="00E705D9">
        <w:tc>
          <w:tcPr>
            <w:tcW w:w="4962" w:type="dxa"/>
          </w:tcPr>
          <w:p w:rsidR="00E705D9" w:rsidRPr="00451F7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62" w:type="dxa"/>
          </w:tcPr>
          <w:p w:rsidR="00E705D9" w:rsidRPr="00451F7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4785" w:type="dxa"/>
          </w:tcPr>
          <w:p w:rsidR="00E705D9" w:rsidRPr="00451F7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705D9" w:rsidRPr="00535C54" w:rsidTr="00E705D9">
        <w:tc>
          <w:tcPr>
            <w:tcW w:w="4962" w:type="dxa"/>
          </w:tcPr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lastRenderedPageBreak/>
              <w:t>Définir la radioactivité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Nommer  les types de radiation radioactive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demi-vie d’une substance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Citer les types des réactions nucléaires provoquées  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Enoncer la loi de conservation de nombre de masse et de charge électrique (loi de Soddy)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le défaut de masse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l’unité de mesure du rayonnement radioactif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Ecrire l’efficacité biologique et génétique relative de chaque rayonnement </w:t>
            </w:r>
          </w:p>
        </w:tc>
        <w:tc>
          <w:tcPr>
            <w:tcW w:w="4962" w:type="dxa"/>
          </w:tcPr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Identifier les types de radiation radioactive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Différencier entre radioactivité naturelle et provoqué 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Reconnaitre les réactions de fission et de fusion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Renoncer les effets biologique et génétique de radiation radioactif </w:t>
            </w:r>
          </w:p>
        </w:tc>
        <w:tc>
          <w:tcPr>
            <w:tcW w:w="4785" w:type="dxa"/>
          </w:tcPr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Appliquer la loi de demi-vie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Déterminer  la demi-vie (période) à partir d’une courbe de désintégration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Réaliser l’équilibre de la réaction radioactive en se basant sur la loi de Soddy 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Relier l’énergie produite au défaut de masse 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Donner des applications médicales </w:t>
            </w:r>
          </w:p>
        </w:tc>
      </w:tr>
    </w:tbl>
    <w:p w:rsidR="006E5165" w:rsidRDefault="006E5165" w:rsidP="004C35BB">
      <w:pPr>
        <w:tabs>
          <w:tab w:val="left" w:pos="5842"/>
        </w:tabs>
        <w:spacing w:after="0" w:line="240" w:lineRule="auto"/>
        <w:rPr>
          <w:rFonts w:asciiTheme="majorHAnsi" w:hAnsiTheme="majorHAnsi"/>
          <w:sz w:val="32"/>
          <w:szCs w:val="32"/>
          <w:lang w:val="fr-FR"/>
        </w:rPr>
      </w:pPr>
    </w:p>
    <w:p w:rsidR="006E5165" w:rsidRDefault="006E5165" w:rsidP="00A92244">
      <w:pPr>
        <w:tabs>
          <w:tab w:val="left" w:pos="5842"/>
        </w:tabs>
        <w:spacing w:after="0" w:line="240" w:lineRule="auto"/>
        <w:rPr>
          <w:rFonts w:asciiTheme="majorHAnsi" w:hAnsiTheme="majorHAnsi"/>
          <w:sz w:val="32"/>
          <w:szCs w:val="32"/>
          <w:lang w:val="fr-FR"/>
        </w:rPr>
      </w:pPr>
    </w:p>
    <w:p w:rsidR="006E5165" w:rsidRDefault="006E5165" w:rsidP="006E5165">
      <w:pPr>
        <w:spacing w:after="0"/>
        <w:jc w:val="center"/>
        <w:rPr>
          <w:b/>
          <w:bCs/>
          <w:sz w:val="28"/>
          <w:szCs w:val="28"/>
          <w:lang w:val="fr-FR"/>
        </w:rPr>
      </w:pPr>
    </w:p>
    <w:p w:rsidR="006E5165" w:rsidRDefault="006E5165" w:rsidP="006E5165">
      <w:pPr>
        <w:rPr>
          <w:rFonts w:asciiTheme="majorHAnsi" w:hAnsiTheme="majorHAnsi"/>
          <w:sz w:val="32"/>
          <w:szCs w:val="32"/>
          <w:lang w:val="fr-FR"/>
        </w:rPr>
      </w:pPr>
    </w:p>
    <w:p w:rsidR="006E5165" w:rsidRDefault="006E5165" w:rsidP="006E5165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6E5165" w:rsidRDefault="006E5165" w:rsidP="006E5165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6E5165" w:rsidRDefault="006E5165" w:rsidP="006E5165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4C35BB" w:rsidRPr="004C35BB" w:rsidRDefault="004C35BB" w:rsidP="004C35B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6E5165" w:rsidRDefault="006E5165" w:rsidP="004C35BB">
      <w:pPr>
        <w:bidi/>
        <w:spacing w:after="0" w:line="240" w:lineRule="auto"/>
        <w:jc w:val="right"/>
        <w:rPr>
          <w:b/>
          <w:bCs/>
          <w:sz w:val="28"/>
          <w:szCs w:val="28"/>
          <w:lang w:val="fr-FR" w:bidi="ar-LB"/>
        </w:rPr>
      </w:pPr>
    </w:p>
    <w:p w:rsidR="006E5165" w:rsidRPr="001014BF" w:rsidRDefault="006E5165" w:rsidP="00A92244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E705D9" w:rsidRDefault="00E705D9" w:rsidP="006E5165">
      <w:pPr>
        <w:bidi/>
        <w:spacing w:after="0" w:line="240" w:lineRule="auto"/>
        <w:jc w:val="center"/>
        <w:rPr>
          <w:b/>
          <w:bCs/>
          <w:sz w:val="28"/>
          <w:szCs w:val="28"/>
          <w:lang w:bidi="ar-LB"/>
        </w:rPr>
      </w:pPr>
    </w:p>
    <w:p w:rsidR="00E705D9" w:rsidRDefault="00E705D9" w:rsidP="00E705D9">
      <w:pPr>
        <w:bidi/>
        <w:spacing w:after="0" w:line="240" w:lineRule="auto"/>
        <w:jc w:val="center"/>
        <w:rPr>
          <w:b/>
          <w:bCs/>
          <w:sz w:val="28"/>
          <w:szCs w:val="28"/>
          <w:lang w:bidi="ar-LB"/>
        </w:rPr>
      </w:pPr>
    </w:p>
    <w:p w:rsidR="00E705D9" w:rsidRDefault="00E705D9" w:rsidP="00E705D9">
      <w:pPr>
        <w:bidi/>
        <w:spacing w:after="0" w:line="240" w:lineRule="auto"/>
        <w:jc w:val="center"/>
        <w:rPr>
          <w:b/>
          <w:bCs/>
          <w:sz w:val="28"/>
          <w:szCs w:val="28"/>
          <w:lang w:bidi="ar-LB"/>
        </w:rPr>
      </w:pPr>
    </w:p>
    <w:p w:rsidR="004C35BB" w:rsidRDefault="004C35BB" w:rsidP="006E5165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6E5165" w:rsidRDefault="006E5165" w:rsidP="00813CA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Chimie)</w:t>
      </w:r>
    </w:p>
    <w:p w:rsidR="00813CA8" w:rsidRDefault="00813CA8" w:rsidP="00813CA8">
      <w:pPr>
        <w:spacing w:after="0" w:line="240" w:lineRule="auto"/>
        <w:rPr>
          <w:rFonts w:asciiTheme="majorBidi" w:hAnsiTheme="majorBidi" w:cstheme="majorBidi"/>
          <w:sz w:val="20"/>
          <w:szCs w:val="20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hapitre 1 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: L’alimentation rationnelle et les aliments allégés</w:t>
      </w:r>
    </w:p>
    <w:tbl>
      <w:tblPr>
        <w:tblStyle w:val="TableGrid"/>
        <w:tblpPr w:leftFromText="180" w:rightFromText="180" w:vertAnchor="text" w:horzAnchor="margin" w:tblpXSpec="center" w:tblpY="163"/>
        <w:tblW w:w="15984" w:type="dxa"/>
        <w:tblLook w:val="04A0"/>
      </w:tblPr>
      <w:tblGrid>
        <w:gridCol w:w="5211"/>
        <w:gridCol w:w="5529"/>
        <w:gridCol w:w="5244"/>
      </w:tblGrid>
      <w:tr w:rsidR="00813CA8" w:rsidTr="001D1144">
        <w:tc>
          <w:tcPr>
            <w:tcW w:w="5211" w:type="dxa"/>
          </w:tcPr>
          <w:p w:rsidR="00813CA8" w:rsidRDefault="00813CA8" w:rsidP="001D114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813CA8" w:rsidRDefault="00813CA8" w:rsidP="001D114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813CA8" w:rsidRDefault="00813CA8" w:rsidP="001D114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813CA8" w:rsidRPr="002E0C4E" w:rsidTr="001D1144">
        <w:tc>
          <w:tcPr>
            <w:tcW w:w="5211" w:type="dxa"/>
          </w:tcPr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énergie.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azote.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les limites des besoins nutritionnels.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Etablir la notion d’apports nutritionnels en : énergie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protéines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lipides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glucides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eaux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sels minéraux et vitamines.</w:t>
            </w:r>
          </w:p>
          <w:p w:rsidR="00813CA8" w:rsidRPr="00FB359F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ration alimentaire.</w:t>
            </w:r>
          </w:p>
        </w:tc>
        <w:tc>
          <w:tcPr>
            <w:tcW w:w="5529" w:type="dxa"/>
          </w:tcPr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Reproduire une ration alimentaire en :Lait,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Viandes,poissons, et œufs.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Féculents.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Légumes et fruits.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Corps gras.</w:t>
            </w:r>
          </w:p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Sucre.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calculer la valeur énergétique des denrées alimentaires en kcal ou KJ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813CA8" w:rsidRPr="00690794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principaux substitues des matières organiques et du saccharose.</w:t>
            </w:r>
          </w:p>
          <w:p w:rsidR="00813CA8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termes diminués, allégés et réduites à la teneur en matières grasses : aux : -produits laitiers</w:t>
            </w:r>
          </w:p>
          <w:p w:rsidR="00813CA8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produits de charcuterie et de salaison</w:t>
            </w:r>
          </w:p>
          <w:p w:rsidR="00813CA8" w:rsidRPr="00690794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sauce à base d’huile.</w:t>
            </w:r>
          </w:p>
          <w:p w:rsidR="00813CA8" w:rsidRPr="001E3CD0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Et d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éterminer ses champs d’applications et les raisons de leurs utilisations.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813CA8" w:rsidRDefault="00813CA8" w:rsidP="00813CA8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</w:p>
    <w:p w:rsidR="00813CA8" w:rsidRPr="00C65D0C" w:rsidRDefault="00813CA8" w:rsidP="00813CA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2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techniques de conservation des aliments</w:t>
      </w:r>
    </w:p>
    <w:tbl>
      <w:tblPr>
        <w:tblStyle w:val="TableGrid"/>
        <w:tblW w:w="15734" w:type="dxa"/>
        <w:tblInd w:w="250" w:type="dxa"/>
        <w:tblLook w:val="04A0"/>
      </w:tblPr>
      <w:tblGrid>
        <w:gridCol w:w="4961"/>
        <w:gridCol w:w="5529"/>
        <w:gridCol w:w="5244"/>
      </w:tblGrid>
      <w:tr w:rsidR="00813CA8" w:rsidTr="001D1144">
        <w:tc>
          <w:tcPr>
            <w:tcW w:w="4961" w:type="dxa"/>
          </w:tcPr>
          <w:p w:rsidR="00813CA8" w:rsidRPr="00797ACB" w:rsidRDefault="00813CA8" w:rsidP="001D114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813CA8" w:rsidRPr="00797ACB" w:rsidRDefault="00813CA8" w:rsidP="001D114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813CA8" w:rsidRPr="00797ACB" w:rsidRDefault="00813CA8" w:rsidP="001D114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813CA8" w:rsidRPr="002E0C4E" w:rsidTr="001D1144">
        <w:tc>
          <w:tcPr>
            <w:tcW w:w="4961" w:type="dxa"/>
          </w:tcPr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différentes causes d’altération des aliments.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Enumérer les différents procédés physiques de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conservation. 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pasteurisation.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sens du terme stérilisation.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méthode d’appertisation.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Déduire les conséquences de l’appertisation sur la valeur nutritionnelle dues aliments.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529" w:type="dxa"/>
          </w:tcPr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Déterminer  les étapes de la congélation.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conséquences de la congélation sur les aliments.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Montrer l’importance de l’entreposage sur les aliments congelés.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Présenter les réglementations qui concernent les produits congelés et surgelés.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conservat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ion des aliments par la chaleur :</w:t>
            </w:r>
          </w:p>
          <w:p w:rsidR="00813CA8" w:rsidRPr="001E3CD0" w:rsidRDefault="00813CA8" w:rsidP="001D1144">
            <w:pPr>
              <w:pStyle w:val="ListParagraph"/>
              <w:tabs>
                <w:tab w:val="left" w:pos="284"/>
              </w:tabs>
              <w:ind w:left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 xml:space="preserve"> P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asteurisation et stérilisation 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 xml:space="preserve">Différencier entre 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térilisation et refroidissement.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Contrôler lesc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onséquences de l’appertisation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de blanchiment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valeur nutritionnelle des aliments.</w:t>
            </w:r>
          </w:p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Discuter les différences entre : réfrigération, congélation, surgélation, stérilisation, pasteurisation…</w:t>
            </w:r>
          </w:p>
        </w:tc>
      </w:tr>
    </w:tbl>
    <w:p w:rsidR="006E5165" w:rsidRDefault="00813CA8" w:rsidP="008A1C3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Chapitre-3-</w:t>
      </w:r>
      <w:r w:rsidR="006E5165" w:rsidRPr="008A1C38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nouveaux matériaux</w:t>
      </w:r>
    </w:p>
    <w:tbl>
      <w:tblPr>
        <w:tblStyle w:val="TableGrid"/>
        <w:tblW w:w="15734" w:type="dxa"/>
        <w:tblInd w:w="250" w:type="dxa"/>
        <w:tblLook w:val="04A0"/>
      </w:tblPr>
      <w:tblGrid>
        <w:gridCol w:w="4962"/>
        <w:gridCol w:w="5529"/>
        <w:gridCol w:w="5243"/>
      </w:tblGrid>
      <w:tr w:rsidR="006E5165" w:rsidTr="006E5165">
        <w:tc>
          <w:tcPr>
            <w:tcW w:w="4962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243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2E0C4E" w:rsidTr="006E5165">
        <w:tc>
          <w:tcPr>
            <w:tcW w:w="4962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matières plastiques.</w:t>
            </w:r>
          </w:p>
          <w:p w:rsidR="006E5165" w:rsidRPr="00913122" w:rsidRDefault="006E5165" w:rsidP="005411B4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matières plastiques suivant leurs natures.</w:t>
            </w:r>
          </w:p>
          <w:p w:rsidR="006E5165" w:rsidRPr="00FB359F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les méthodes d’obten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tion des polymères synthétiques</w:t>
            </w:r>
          </w:p>
        </w:tc>
        <w:tc>
          <w:tcPr>
            <w:tcW w:w="5529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domaines d’utilisation des thermoplastiques en fonction de leurs propriétés.</w:t>
            </w:r>
          </w:p>
          <w:p w:rsidR="006E5165" w:rsidRPr="00FB359F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règles de conditionnement et la réglementation des matières plastiques en contact avec les aliments.</w:t>
            </w:r>
          </w:p>
        </w:tc>
        <w:tc>
          <w:tcPr>
            <w:tcW w:w="5243" w:type="dxa"/>
          </w:tcPr>
          <w:p w:rsidR="006E5165" w:rsidRPr="00913122" w:rsidRDefault="006E5165" w:rsidP="005411B4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 matières plastiques.</w:t>
            </w:r>
          </w:p>
          <w:p w:rsidR="006E5165" w:rsidRPr="00913122" w:rsidRDefault="006E5165" w:rsidP="005411B4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Pratiquer l’utili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sation des matières plastiques en fonction de leurs propriétés spécifiques.</w:t>
            </w:r>
          </w:p>
        </w:tc>
      </w:tr>
    </w:tbl>
    <w:p w:rsidR="006E5165" w:rsidRDefault="00813CA8" w:rsidP="00813CA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</w:t>
      </w:r>
      <w:r w:rsidR="002F517F">
        <w:rPr>
          <w:rFonts w:asciiTheme="majorBidi" w:hAnsiTheme="majorBidi" w:cstheme="majorBidi"/>
          <w:b/>
          <w:bCs/>
          <w:sz w:val="24"/>
          <w:szCs w:val="24"/>
          <w:lang w:val="fr-FR"/>
        </w:rPr>
        <w:t>-4-</w:t>
      </w:r>
      <w:r w:rsidR="006E5165" w:rsidRPr="008A1C38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plantes et l’industrie chimique</w:t>
      </w:r>
    </w:p>
    <w:tbl>
      <w:tblPr>
        <w:tblStyle w:val="TableGrid"/>
        <w:tblW w:w="15735" w:type="dxa"/>
        <w:tblInd w:w="250" w:type="dxa"/>
        <w:tblLook w:val="04A0"/>
      </w:tblPr>
      <w:tblGrid>
        <w:gridCol w:w="4961"/>
        <w:gridCol w:w="5529"/>
        <w:gridCol w:w="5245"/>
      </w:tblGrid>
      <w:tr w:rsidR="006E5165" w:rsidTr="006E5165">
        <w:tc>
          <w:tcPr>
            <w:tcW w:w="4961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24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2E0C4E" w:rsidTr="006E5165">
        <w:tc>
          <w:tcPr>
            <w:tcW w:w="4961" w:type="dxa"/>
          </w:tcPr>
          <w:p w:rsidR="006E5165" w:rsidRDefault="006E5165" w:rsidP="0020662B">
            <w:pPr>
              <w:numPr>
                <w:ilvl w:val="0"/>
                <w:numId w:val="38"/>
              </w:numPr>
              <w:ind w:right="357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trois plantes alimentaires considérées comme aliments complets.</w:t>
            </w:r>
          </w:p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Citer quelques plantes dangereuses. </w:t>
            </w:r>
          </w:p>
          <w:p w:rsidR="006E5165" w:rsidRPr="00182B97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52EC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consommation du tabac à la présence de certaines maladies.</w:t>
            </w:r>
          </w:p>
        </w:tc>
        <w:tc>
          <w:tcPr>
            <w:tcW w:w="5529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relation entre le blé et la santé.</w:t>
            </w:r>
          </w:p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proofErr w:type="gramStart"/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</w:t>
            </w:r>
            <w:proofErr w:type="gramEnd"/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que 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consommation du tabac à la présence de certaines maladies.</w:t>
            </w:r>
          </w:p>
          <w:p w:rsidR="006E5165" w:rsidRPr="00913122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5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plantes bonnes pour la santé et plantes dangereuses. </w:t>
            </w:r>
          </w:p>
          <w:p w:rsidR="006E5165" w:rsidRPr="00CD2830" w:rsidRDefault="006E5165" w:rsidP="005411B4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 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éducteur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 du risque cancéreux et a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méliore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fluidité du sang.</w:t>
            </w:r>
          </w:p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Default="006E5165" w:rsidP="006E5165">
      <w:pPr>
        <w:jc w:val="right"/>
        <w:rPr>
          <w:lang w:val="fr-FR"/>
        </w:rPr>
      </w:pPr>
    </w:p>
    <w:p w:rsidR="008A1C38" w:rsidRDefault="008A1C38" w:rsidP="006E5165">
      <w:pPr>
        <w:jc w:val="right"/>
        <w:rPr>
          <w:lang w:val="fr-FR"/>
        </w:rPr>
      </w:pPr>
    </w:p>
    <w:sectPr w:rsidR="008A1C38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61E14"/>
    <w:rsid w:val="00182B97"/>
    <w:rsid w:val="00194E72"/>
    <w:rsid w:val="00195ED2"/>
    <w:rsid w:val="001A5EFF"/>
    <w:rsid w:val="001B42FE"/>
    <w:rsid w:val="001D1144"/>
    <w:rsid w:val="0020372A"/>
    <w:rsid w:val="0020662B"/>
    <w:rsid w:val="00266C09"/>
    <w:rsid w:val="002B0A72"/>
    <w:rsid w:val="002C2494"/>
    <w:rsid w:val="002E0C4E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97E66"/>
    <w:rsid w:val="009A7236"/>
    <w:rsid w:val="009B2E22"/>
    <w:rsid w:val="009C6391"/>
    <w:rsid w:val="009E5797"/>
    <w:rsid w:val="009F5386"/>
    <w:rsid w:val="00A27175"/>
    <w:rsid w:val="00A72A67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32B9A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33776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2020-10-27T09:09:00Z</dcterms:created>
  <dcterms:modified xsi:type="dcterms:W3CDTF">2020-10-27T09:26:00Z</dcterms:modified>
</cp:coreProperties>
</file>